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OBEC  Zvíkov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Zastupitelstvo obce  Zvíkov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Obecně závazná vyhláška obce  Zvíkov</w:t>
      </w:r>
    </w:p>
    <w:p>
      <w:pPr>
        <w:pStyle w:val="NormlnIMP"/>
        <w:spacing w:lineRule="auto" w:line="240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o stanovení obecního systému odpadového hospodářství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Indent2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Zastupitelstvo obce Zvíkov se na svém zasedání dne 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 xml:space="preserve">18. 12. 2023 usnesením č. 11/2023 usneslo vydat na základě § 59 odst. 4 zákona č. 541/2020 Sb., o odpadech (dále jen „zákon </w:t>
        <w:br/>
        <w:t xml:space="preserve">o odpadech“), a v souladu s § 10 písm. d) a § 84 odst. 2 písm. h) zákona č. 128/2000 Sb., </w:t>
        <w:br/>
        <w:t>o obcích (obecní zřízení), ve znění pozdějších předpisů, tuto obecně závaznou vyhlášku (dále jen „vyhláška“):</w:t>
      </w:r>
    </w:p>
    <w:p>
      <w:pPr>
        <w:pStyle w:val="BodyTextIndent2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Čl. 1</w:t>
      </w:r>
    </w:p>
    <w:p>
      <w:pPr>
        <w:pStyle w:val="Nadpis2"/>
        <w:jc w:val="center"/>
        <w:rPr>
          <w:rFonts w:ascii="Arial" w:hAnsi="Arial" w:cs="Arial"/>
          <w:b/>
          <w:b/>
          <w:bCs/>
          <w:sz w:val="22"/>
          <w:szCs w:val="22"/>
          <w:u w:val="none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>Úvodní ustanovení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Tato vyhláška stanovuje obecní systém odpadového hospodářství na území obce Zvíkov.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 obecního systému odpadového hospodářství se nezahrnuje odpad vzniklý z podnikatelské činnosti právnických a podnikajících fyzických osob.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-142" w:leader="none"/>
        </w:tabs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>Každý je povinen odpad nebo movitou věc, které předává do obecního systému, odkládat na místa určená obcí v souladu s povinnostmi stanovenými pro daný druh, kategorii nebo materiál odpadu nebo movitých věcí zákonem o odpadech a touto vyhláškou</w:t>
      </w:r>
      <w:r>
        <w:rPr>
          <w:rStyle w:val="Ukotvenpoznmkypodarou"/>
          <w:rFonts w:cs="Arial" w:ascii="Arial" w:hAnsi="Arial"/>
          <w:sz w:val="22"/>
          <w:szCs w:val="22"/>
        </w:rPr>
        <w:footnoteReference w:id="2"/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-142" w:leader="none"/>
        </w:tabs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V okamžiku, kdy osoba zapojená do obecního systému odloží movitou věc nebo odpad, </w:t>
        <w:br/>
        <w:t>s výjimkou výrobků s ukončenou životností, na místě obcí k tomuto účelu určeném, stává se obec vlastníkem této movité věci nebo odpadu</w:t>
      </w:r>
      <w:r>
        <w:rPr>
          <w:rStyle w:val="Ukotvenpoznmkypodarou"/>
          <w:rFonts w:cs="Arial" w:ascii="Arial" w:hAnsi="Arial"/>
          <w:sz w:val="22"/>
          <w:szCs w:val="22"/>
        </w:rPr>
        <w:footnoteReference w:id="3"/>
      </w:r>
      <w:r>
        <w:rPr>
          <w:rFonts w:cs="Arial" w:ascii="Arial" w:hAnsi="Arial"/>
          <w:sz w:val="22"/>
          <w:szCs w:val="22"/>
        </w:rPr>
        <w:t xml:space="preserve">. </w:t>
      </w:r>
    </w:p>
    <w:p>
      <w:pPr>
        <w:pStyle w:val="Normal"/>
        <w:tabs>
          <w:tab w:val="clear" w:pos="708"/>
          <w:tab w:val="left" w:pos="-142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-142" w:leader="none"/>
        </w:tabs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>
      <w:pPr>
        <w:pStyle w:val="Normal"/>
        <w:tabs>
          <w:tab w:val="clear" w:pos="708"/>
          <w:tab w:val="left" w:pos="-142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Čl. 2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Oddělené soustřeďování komunálního odpadu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Osoby předávající komunální odpad na místa určená obcí jsou povinny odděleně soustřeďovat následující složky: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cs="Arial"/>
          <w:bCs/>
          <w:i/>
          <w:i/>
          <w:color w:val="000000"/>
        </w:rPr>
      </w:pPr>
      <w:r>
        <w:rPr>
          <w:rFonts w:cs="Arial" w:ascii="Arial" w:hAnsi="Arial"/>
          <w:bCs/>
          <w:i/>
          <w:color w:val="000000"/>
        </w:rPr>
        <w:t>Biologické odpady</w:t>
      </w:r>
      <w:r>
        <w:rPr>
          <w:rFonts w:cs="Arial" w:ascii="Arial" w:hAnsi="Arial"/>
          <w:bCs/>
          <w:i/>
        </w:rPr>
        <w:t>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" w:leader="none"/>
        </w:tabs>
        <w:spacing w:lineRule="auto" w:line="240" w:before="0" w:after="0"/>
        <w:contextualSpacing/>
        <w:rPr>
          <w:rFonts w:ascii="Arial" w:hAnsi="Arial" w:cs="Arial"/>
          <w:bCs/>
          <w:i/>
          <w:i/>
          <w:color w:val="000000"/>
        </w:rPr>
      </w:pPr>
      <w:r>
        <w:rPr>
          <w:rFonts w:cs="Arial" w:ascii="Arial" w:hAnsi="Arial"/>
          <w:bCs/>
          <w:i/>
          <w:color w:val="000000"/>
        </w:rPr>
        <w:t>Papír,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" w:leader="none"/>
        </w:tabs>
        <w:spacing w:lineRule="auto" w:line="240" w:before="0" w:after="0"/>
        <w:contextualSpacing/>
        <w:rPr>
          <w:rFonts w:ascii="Arial" w:hAnsi="Arial" w:cs="Arial"/>
          <w:bCs/>
          <w:i/>
          <w:i/>
          <w:color w:val="000000"/>
        </w:rPr>
      </w:pPr>
      <w:r>
        <w:rPr>
          <w:rFonts w:cs="Arial" w:ascii="Arial" w:hAnsi="Arial"/>
          <w:bCs/>
          <w:i/>
          <w:color w:val="000000"/>
        </w:rPr>
        <w:t>Plasty, včetně PET lahví a nápojových kartonů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cs="Arial"/>
          <w:bCs/>
          <w:i/>
          <w:i/>
          <w:color w:val="000000"/>
        </w:rPr>
      </w:pPr>
      <w:r>
        <w:rPr>
          <w:rFonts w:cs="Arial" w:ascii="Arial" w:hAnsi="Arial"/>
          <w:bCs/>
          <w:i/>
          <w:color w:val="000000"/>
        </w:rPr>
        <w:t>Sklo,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cs="Arial"/>
          <w:bCs/>
          <w:i/>
          <w:i/>
          <w:color w:val="000000"/>
        </w:rPr>
      </w:pPr>
      <w:r>
        <w:rPr>
          <w:rFonts w:cs="Arial" w:ascii="Arial" w:hAnsi="Arial"/>
          <w:bCs/>
          <w:i/>
          <w:color w:val="000000"/>
        </w:rPr>
        <w:t>Kovy,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bCs/>
          <w:i/>
          <w:color w:val="000000"/>
          <w:sz w:val="22"/>
          <w:szCs w:val="22"/>
        </w:rPr>
        <w:t>Nebezpečné odpady,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bCs/>
          <w:i/>
          <w:i/>
          <w:color w:val="000000"/>
          <w:sz w:val="22"/>
          <w:szCs w:val="22"/>
        </w:rPr>
      </w:pPr>
      <w:r>
        <w:rPr>
          <w:rFonts w:cs="Arial" w:ascii="Arial" w:hAnsi="Arial"/>
          <w:bCs/>
          <w:i/>
          <w:color w:val="000000"/>
          <w:sz w:val="22"/>
          <w:szCs w:val="22"/>
        </w:rPr>
        <w:t>Objemný odpad,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Jedlé oleje a tuky,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Směsný komunální odpad</w:t>
      </w:r>
    </w:p>
    <w:p>
      <w:pPr>
        <w:pStyle w:val="Odsazentlatextu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Směsným komunálním odpadem se rozumí zbylý komunální odpad po stanoveném vytřídění podle odstavce 1 písm. a), b), c), d), e), f), g), h) a i).</w:t>
      </w:r>
    </w:p>
    <w:p>
      <w:pPr>
        <w:pStyle w:val="Odsazentlatextu"/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Objemný odpad je takový odpad, který vzhledem ke svým rozměrům nemůže být umístěn do sběrných nádob (</w:t>
      </w:r>
      <w:r>
        <w:rPr>
          <w:rFonts w:cs="Arial" w:ascii="Arial" w:hAnsi="Arial"/>
          <w:i/>
          <w:iCs/>
          <w:sz w:val="22"/>
          <w:szCs w:val="22"/>
        </w:rPr>
        <w:t>např. koberce, matrace, nábytek</w:t>
      </w:r>
      <w:r>
        <w:rPr>
          <w:rFonts w:cs="Arial" w:ascii="Arial" w:hAnsi="Arial"/>
          <w:sz w:val="22"/>
          <w:szCs w:val="22"/>
        </w:rPr>
        <w:t>).</w:t>
      </w:r>
    </w:p>
    <w:p>
      <w:pPr>
        <w:pStyle w:val="Odsazentlatextu"/>
        <w:ind w:left="72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Odsazentlatextu"/>
        <w:ind w:left="72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Čl. 3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Určení míst pro oddělené soustřeďování určených složek komunálního odpadu</w:t>
      </w:r>
    </w:p>
    <w:p>
      <w:pPr>
        <w:pStyle w:val="Normal"/>
        <w:tabs>
          <w:tab w:val="clear" w:pos="708"/>
          <w:tab w:val="left" w:pos="927" w:leader="none"/>
        </w:tabs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  <w:tab w:val="left" w:pos="927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Papír, plasty, sklo, kovy, biologické odpady, jedlé oleje a tuky, se soustřeďují do </w:t>
      </w:r>
      <w:r>
        <w:rPr>
          <w:rFonts w:cs="Arial" w:ascii="Arial" w:hAnsi="Arial"/>
          <w:bCs/>
          <w:sz w:val="22"/>
          <w:szCs w:val="22"/>
        </w:rPr>
        <w:t>zvláštních sběrných nádob</w:t>
      </w:r>
      <w:r>
        <w:rPr>
          <w:rFonts w:cs="Arial" w:ascii="Arial" w:hAnsi="Arial"/>
          <w:sz w:val="22"/>
          <w:szCs w:val="22"/>
        </w:rPr>
        <w:t xml:space="preserve">, kterými jsou o objemu 1100 l, 240 l, 120 l (papír, plast), </w:t>
        <w:br/>
        <w:t>1300 l, 1500 l, 2000l (sklo, kov), 120 l (jedlé oleje a tuky) a velkoobjemové kontejnery (biologický odpad).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lnIMP"/>
        <w:numPr>
          <w:ilvl w:val="0"/>
          <w:numId w:val="2"/>
        </w:numPr>
        <w:tabs>
          <w:tab w:val="clear" w:pos="708"/>
          <w:tab w:val="left" w:pos="540" w:leader="none"/>
          <w:tab w:val="left" w:pos="927" w:leader="none"/>
        </w:tabs>
        <w:suppressAutoHyphens w:val="false"/>
        <w:overflowPunct w:val="true"/>
        <w:spacing w:lineRule="auto" w:line="240"/>
        <w:ind w:left="0" w:hanging="0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Zvláštní sběrné nádoby jsou umístěny na těchto stanovištích:</w:t>
      </w:r>
    </w:p>
    <w:p>
      <w:pPr>
        <w:pStyle w:val="NormlnIMP"/>
        <w:tabs>
          <w:tab w:val="clear" w:pos="708"/>
          <w:tab w:val="left" w:pos="540" w:leader="none"/>
          <w:tab w:val="left" w:pos="927" w:leader="none"/>
        </w:tabs>
        <w:suppressAutoHyphens w:val="false"/>
        <w:overflowPunct w:val="true"/>
        <w:spacing w:lineRule="auto" w:line="240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lnIMP"/>
        <w:numPr>
          <w:ilvl w:val="0"/>
          <w:numId w:val="0"/>
        </w:numPr>
        <w:suppressAutoHyphens w:val="false"/>
        <w:overflowPunct w:val="true"/>
        <w:spacing w:lineRule="auto" w:line="240"/>
        <w:ind w:left="720" w:hanging="0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lnIMP"/>
        <w:numPr>
          <w:ilvl w:val="0"/>
          <w:numId w:val="10"/>
        </w:numPr>
        <w:suppressAutoHyphens w:val="false"/>
        <w:overflowPunct w:val="true"/>
        <w:spacing w:lineRule="auto" w:line="240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případě zájmu, jsou poskytnuty fyzickým osobám, sběrné nádoby o objemu 120 l nebo 240 l na Papír a Plast, které jsou umístěny  ve Zvíkově  u Obecního úřadu</w:t>
      </w:r>
    </w:p>
    <w:p>
      <w:pPr>
        <w:pStyle w:val="NormlnIMP"/>
        <w:numPr>
          <w:ilvl w:val="0"/>
          <w:numId w:val="10"/>
        </w:numPr>
        <w:suppressAutoHyphens w:val="false"/>
        <w:overflowPunct w:val="true"/>
        <w:spacing w:lineRule="auto" w:line="240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sběrné nádoby na Sklo jsou umístěny ve Zvíkově  u Obecního úřadu a u zastávky autobusů na Ortvínovicích </w:t>
      </w:r>
    </w:p>
    <w:p>
      <w:pPr>
        <w:pStyle w:val="NormlnIMP"/>
        <w:numPr>
          <w:ilvl w:val="0"/>
          <w:numId w:val="10"/>
        </w:numPr>
        <w:suppressAutoHyphens w:val="false"/>
        <w:overflowPunct w:val="true"/>
        <w:spacing w:lineRule="auto" w:line="240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sběrné nádoby na Kov  jsou umístěny ve Zvíkově u Obecního úřadu, </w:t>
      </w:r>
    </w:p>
    <w:p>
      <w:pPr>
        <w:pStyle w:val="NormlnIMP"/>
        <w:numPr>
          <w:ilvl w:val="0"/>
          <w:numId w:val="10"/>
        </w:numPr>
        <w:suppressAutoHyphens w:val="false"/>
        <w:overflowPunct w:val="true"/>
        <w:spacing w:lineRule="auto" w:line="240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sběrné nádoby o objemu 120 l na Jedlé oleje a tuky jsou umístěny ve Zvíkově u Obecního úřadu</w:t>
      </w:r>
    </w:p>
    <w:p>
      <w:pPr>
        <w:pStyle w:val="NormlnIMP"/>
        <w:numPr>
          <w:ilvl w:val="0"/>
          <w:numId w:val="10"/>
        </w:numPr>
        <w:suppressAutoHyphens w:val="false"/>
        <w:overflowPunct w:val="true"/>
        <w:spacing w:lineRule="auto" w:line="240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Biologické odpady (např. tráva, listí, odpad ze zahrad, piliny, slupky) lze vozit do           silážní jámy v ulici Na Dolinách, popřípadě kompostovat v domácích kompostérech</w:t>
      </w:r>
    </w:p>
    <w:p>
      <w:pPr>
        <w:pStyle w:val="NormlnIMP"/>
        <w:numPr>
          <w:ilvl w:val="0"/>
          <w:numId w:val="10"/>
        </w:numPr>
        <w:suppressAutoHyphens w:val="false"/>
        <w:overflowPunct w:val="true"/>
        <w:spacing w:lineRule="auto" w:line="240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větve ze stromů se ukládají na vymezenou plochu, která se nachází v ulici Na Dolinách. Na tuto vymezenou plochu, není povoleno ukládat jiné odpady.</w:t>
      </w:r>
    </w:p>
    <w:p>
      <w:pPr>
        <w:pStyle w:val="NormlnIMP"/>
        <w:suppressAutoHyphens w:val="false"/>
        <w:overflowPunct w:val="true"/>
        <w:spacing w:lineRule="auto" w:line="240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lnIMP"/>
        <w:numPr>
          <w:ilvl w:val="0"/>
          <w:numId w:val="2"/>
        </w:numPr>
        <w:tabs>
          <w:tab w:val="clear" w:pos="708"/>
          <w:tab w:val="left" w:pos="540" w:leader="none"/>
          <w:tab w:val="left" w:pos="927" w:leader="none"/>
        </w:tabs>
        <w:suppressAutoHyphens w:val="false"/>
        <w:overflowPunct w:val="true"/>
        <w:spacing w:lineRule="auto" w:line="240"/>
        <w:ind w:left="0" w:hanging="0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Zvláštní sběrné nádoby jsou barevně odlišeny a označeny příslušnými nápisy: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Arial" w:hAnsi="Arial" w:cs="Arial"/>
          <w:bCs/>
          <w:i/>
          <w:i/>
          <w:color w:val="000000"/>
        </w:rPr>
      </w:pPr>
      <w:r>
        <w:rPr>
          <w:rFonts w:cs="Arial" w:ascii="Arial" w:hAnsi="Arial"/>
          <w:bCs/>
          <w:color w:val="000000"/>
        </w:rPr>
        <w:t>Biologické odpady, barva zelená,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Papír, barva modrá,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Arial" w:hAnsi="Arial" w:cs="Arial"/>
          <w:bCs/>
          <w:color w:val="FF0000"/>
        </w:rPr>
      </w:pPr>
      <w:r>
        <w:rPr>
          <w:rFonts w:cs="Arial" w:ascii="Arial" w:hAnsi="Arial"/>
          <w:bCs/>
          <w:color w:val="000000"/>
        </w:rPr>
        <w:t xml:space="preserve">Plasty včetně PET lahví a nápojových kartonů, barva </w:t>
      </w:r>
      <w:r>
        <w:rPr>
          <w:rFonts w:cs="Arial" w:ascii="Arial" w:hAnsi="Arial"/>
          <w:bCs/>
        </w:rPr>
        <w:t>žlutá,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Sklo, barva zelená,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Arial" w:hAnsi="Arial" w:cs="Arial"/>
          <w:bCs/>
        </w:rPr>
      </w:pPr>
      <w:r>
        <w:rPr>
          <w:rFonts w:cs="Arial" w:ascii="Arial" w:hAnsi="Arial"/>
          <w:bCs/>
          <w:color w:val="000000"/>
        </w:rPr>
        <w:t>Kovy, barva šedá,</w:t>
      </w:r>
    </w:p>
    <w:p>
      <w:pPr>
        <w:pStyle w:val="Normal"/>
        <w:numPr>
          <w:ilvl w:val="0"/>
          <w:numId w:val="7"/>
        </w:numPr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Jedlé oleje a tuky, barva oranžová.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ind w:left="360" w:hanging="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 zvláštních sběrných nádob je zakázáno ukládat jiné složky komunálních odpadů, než pro které jsou určeny.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Zvláštní sběrné nádoby je povinnost plnit tak, aby je bylo možno uzavřít a odpad z nich při manipulaci nevypadával. Pokud to umožňuje povaha odpadu, je nutno objem odpadu před jeho odložením do sběrné nádoby minimalizovat. </w:t>
      </w:r>
    </w:p>
    <w:p>
      <w:pPr>
        <w:pStyle w:val="Default"/>
        <w:ind w:left="360" w:hanging="0"/>
        <w:rPr/>
      </w:pPr>
      <w:r>
        <w:rPr/>
      </w:r>
    </w:p>
    <w:p>
      <w:pPr>
        <w:pStyle w:val="Default"/>
        <w:ind w:left="360" w:hanging="0"/>
        <w:rPr/>
      </w:pPr>
      <w:r>
        <w:rPr/>
      </w:r>
    </w:p>
    <w:p>
      <w:pPr>
        <w:pStyle w:val="Nadpis2"/>
        <w:jc w:val="center"/>
        <w:rPr>
          <w:rFonts w:ascii="Arial" w:hAnsi="Arial" w:cs="Arial"/>
          <w:b/>
          <w:b/>
          <w:bCs/>
          <w:sz w:val="22"/>
          <w:szCs w:val="22"/>
          <w:u w:val="none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>Čl. 4</w:t>
      </w:r>
    </w:p>
    <w:p>
      <w:pPr>
        <w:pStyle w:val="Nadpis2"/>
        <w:jc w:val="center"/>
        <w:rPr>
          <w:rFonts w:ascii="Arial" w:hAnsi="Arial" w:cs="Arial"/>
          <w:b/>
          <w:b/>
          <w:bCs/>
          <w:sz w:val="22"/>
          <w:szCs w:val="22"/>
          <w:u w:val="none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u w:val="none"/>
        </w:rPr>
        <w:t>Svoz nebezpečných složek komunálního odpadu</w:t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Svoz nebezpečných složek komunálního odpadu je zajišťován </w:t>
      </w:r>
      <w:r>
        <w:rPr>
          <w:rFonts w:cs="Arial" w:ascii="Arial" w:hAnsi="Arial"/>
          <w:iCs/>
          <w:sz w:val="22"/>
          <w:szCs w:val="22"/>
        </w:rPr>
        <w:t>minimálně dvakrát ročně</w:t>
      </w:r>
      <w:r>
        <w:rPr>
          <w:rFonts w:cs="Arial" w:ascii="Arial" w:hAnsi="Arial"/>
          <w:sz w:val="22"/>
          <w:szCs w:val="22"/>
        </w:rPr>
        <w:t xml:space="preserve"> jejich odebíráním na předem vyhlášených přechodných stanovištích přímo do zvláštních sběrných nádob k tomuto sběru určených. Informace o svozu jsou zveřejňovány na úřední desce obecního úřadu, na internetových stránkách obce a v místním rozhlase.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Fyzické osoby přihlášené v obci mohou nebezpečný odpad odevzdávat také v Dopravním, skladovacím a řídícím středisku Růžov, adresa: Růžovská 697, 373 12 Borovany. Před uložením tohoto odpadu je nutno obec požádat o vydání potvrzení pro uložení nebezpečného odpadu ve sběrném dvoře v Růžově. Tímto potvrzením obec přebírá náklady na uložení tohoto odpadu. Obec nepřebírá náklady na dopravu.</w:t>
      </w:r>
    </w:p>
    <w:p>
      <w:pPr>
        <w:pStyle w:val="Normal"/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Soustřeďování nebezpečných složek komunálního odpadu podléhá požadavkům stanoveným v čl. 3 odst. 4 a 5.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Čl. 5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Svoz objemného odpadu</w:t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Svoz objemného odpadu je zajišťován dvakrát ročně jeho odebíráním na předem vyhlášených přechodných stanovištích přímo do zvláštních sběrných nádob k tomuto účelu určených. Informace o svozu jsou zveřejňovány na úřední desce obecního úřadu, na internetových stránkách obce a v místním rozhlase.</w:t>
      </w:r>
    </w:p>
    <w:p>
      <w:pPr>
        <w:pStyle w:val="Normal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color w:val="00B0F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Fyzické osoby přihlášené v obci mohou objemný odpad odevzdávat také ve sběrném dvoře v Dopravním, skladovacím a řídícím středisku Růžov, adresa: Růžovská 697, 373 12 Borovany. Před uložením tohoto odpadu je nutno obec požádat o vydání potvrzení pro uložení objemného odpadu ve sběrném dvoře v Růžově. Tímto potvrzením obec přebírá náklady na uložení tohoto odpadu. Obec nepřebírá náklady na dopravu. </w:t>
      </w:r>
    </w:p>
    <w:p>
      <w:pPr>
        <w:pStyle w:val="NormlnIMP"/>
        <w:suppressAutoHyphens w:val="false"/>
        <w:overflowPunct w:val="true"/>
        <w:spacing w:lineRule="auto" w:line="240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</w:tabs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Soustřeďování objemného odpadu podléhá požadavkům stanoveným v čl. 3 odst. 4 a 5.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Čl. 6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Soustřeďování směsného komunálního odpadu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widowControl w:val="false"/>
        <w:numPr>
          <w:ilvl w:val="0"/>
          <w:numId w:val="9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Směsný komunální odpad se odkládá do sběrných nádob. Pro účely této vyhlášky se sběrnými nádobami rozumějí</w:t>
      </w:r>
      <w:r>
        <w:rPr>
          <w:rFonts w:cs="Arial" w:ascii="Arial" w:hAnsi="Arial"/>
          <w:color w:val="00B0F0"/>
          <w:sz w:val="22"/>
          <w:szCs w:val="22"/>
        </w:rPr>
        <w:t>:</w:t>
      </w:r>
    </w:p>
    <w:p>
      <w:pPr>
        <w:pStyle w:val="Normal"/>
        <w:widowControl w:val="false"/>
        <w:jc w:val="both"/>
        <w:rPr>
          <w:rFonts w:ascii="Arial" w:hAnsi="Arial" w:cs="Arial"/>
          <w:strike/>
          <w:color w:val="00B0F0"/>
          <w:sz w:val="22"/>
          <w:szCs w:val="22"/>
        </w:rPr>
      </w:pPr>
      <w:r>
        <w:rPr>
          <w:rFonts w:cs="Arial" w:ascii="Arial" w:hAnsi="Arial"/>
          <w:strike/>
          <w:color w:val="00B0F0"/>
          <w:sz w:val="22"/>
          <w:szCs w:val="22"/>
        </w:rPr>
      </w:r>
    </w:p>
    <w:p>
      <w:pPr>
        <w:pStyle w:val="Normal"/>
        <w:numPr>
          <w:ilvl w:val="0"/>
          <w:numId w:val="1"/>
        </w:numPr>
        <w:ind w:firstLine="66"/>
        <w:jc w:val="both"/>
        <w:rPr>
          <w:rFonts w:ascii="Arial" w:hAnsi="Arial" w:cs="Arial"/>
          <w:i/>
          <w:i/>
          <w:color w:val="00B0F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popelnice o objemu 110 l, 120 l a 240 l barvy černé, pro občany bydlící v objektech s číslem popisným a nádoba bude označena svozovou známkou na daný rok,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numPr>
          <w:ilvl w:val="0"/>
          <w:numId w:val="1"/>
        </w:numPr>
        <w:ind w:firstLine="6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odpadkové koše, které jsou umístěny na veřejném prostranství území obce, sloužící pro odkládání drobného směsného komunálního odpadu.</w:t>
      </w:r>
    </w:p>
    <w:p>
      <w:pPr>
        <w:pStyle w:val="Normal"/>
        <w:ind w:left="42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9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Soustřeďování směsného komunálního odpadu podléhá požadavkům stanoveným </w:t>
        <w:br/>
        <w:t xml:space="preserve">v čl. 3 odst. 4 a 5.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Čl. 7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Zrušovací ustanovení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88" w:before="120" w:after="0"/>
        <w:jc w:val="both"/>
        <w:rPr>
          <w:rFonts w:ascii="Arial" w:hAnsi="Arial" w:cs="Arial"/>
          <w:sz w:val="22"/>
          <w:szCs w:val="22"/>
        </w:rPr>
      </w:pPr>
      <w:bookmarkStart w:id="1" w:name="_Hlk54595723"/>
      <w:r>
        <w:rPr>
          <w:rFonts w:cs="Arial" w:ascii="Arial" w:hAnsi="Arial"/>
          <w:sz w:val="22"/>
          <w:szCs w:val="22"/>
        </w:rPr>
        <w:t xml:space="preserve">Zrušuje se obecně závazná vyhláška </w:t>
      </w:r>
      <w:bookmarkEnd w:id="1"/>
      <w:r>
        <w:rPr>
          <w:rFonts w:cs="Arial" w:ascii="Arial" w:hAnsi="Arial"/>
          <w:sz w:val="22"/>
          <w:szCs w:val="22"/>
        </w:rPr>
        <w:t>č. 1/2021, o stanovení obecního systému odpadového hospodářství, ze dne 24. 11. 2021.</w:t>
      </w:r>
    </w:p>
    <w:p>
      <w:pPr>
        <w:pStyle w:val="Normal"/>
        <w:spacing w:lineRule="auto" w:line="288"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Čl. 8</w:t>
      </w:r>
    </w:p>
    <w:p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Účinnost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Tato vyhláška nabývá účinnosti dnem 1. 1. 2024. </w:t>
      </w:r>
    </w:p>
    <w:p>
      <w:pPr>
        <w:pStyle w:val="Nzvylnk"/>
        <w:spacing w:before="0" w:after="0"/>
        <w:jc w:val="left"/>
        <w:rPr>
          <w:rFonts w:ascii="Arial" w:hAnsi="Arial" w:cs="Arial"/>
          <w:b w:val="false"/>
          <w:b w:val="false"/>
          <w:bCs w:val="false"/>
          <w:i/>
          <w:i/>
          <w:color w:val="1A4BD6"/>
          <w:sz w:val="22"/>
          <w:szCs w:val="22"/>
        </w:rPr>
      </w:pPr>
      <w:r>
        <w:rPr>
          <w:rFonts w:cs="Arial" w:ascii="Arial" w:hAnsi="Arial"/>
          <w:b w:val="false"/>
          <w:bCs w:val="false"/>
          <w:i/>
          <w:color w:val="1A4BD6"/>
          <w:sz w:val="22"/>
          <w:szCs w:val="22"/>
        </w:rPr>
      </w:r>
    </w:p>
    <w:p>
      <w:pPr>
        <w:pStyle w:val="Normal"/>
        <w:spacing w:lineRule="auto" w:line="288" w:before="120" w:after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88" w:before="120" w:after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88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08" w:hanging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………………</w:t>
      </w:r>
      <w:r>
        <w:rPr>
          <w:rFonts w:cs="Arial" w:ascii="Arial" w:hAnsi="Arial"/>
          <w:bCs/>
          <w:sz w:val="22"/>
          <w:szCs w:val="22"/>
        </w:rPr>
        <w:t>...……………….</w:t>
        <w:tab/>
        <w:tab/>
        <w:tab/>
        <w:tab/>
        <w:t>………………………………</w:t>
      </w:r>
    </w:p>
    <w:p>
      <w:pPr>
        <w:pStyle w:val="Normal"/>
        <w:ind w:firstLine="708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       </w:t>
      </w:r>
      <w:r>
        <w:rPr>
          <w:rFonts w:cs="Arial" w:ascii="Arial" w:hAnsi="Arial"/>
          <w:bCs/>
          <w:sz w:val="22"/>
          <w:szCs w:val="22"/>
        </w:rPr>
        <w:t>Josef Šafář v. r.</w:t>
        <w:tab/>
        <w:tab/>
        <w:tab/>
        <w:tab/>
        <w:tab/>
        <w:t xml:space="preserve">     Mgr. Anna Konopová v. r.</w:t>
      </w:r>
    </w:p>
    <w:p>
      <w:pPr>
        <w:pStyle w:val="Normal"/>
        <w:ind w:left="708" w:hanging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               </w:t>
      </w:r>
      <w:r>
        <w:rPr>
          <w:rFonts w:cs="Arial" w:ascii="Arial" w:hAnsi="Arial"/>
          <w:bCs/>
          <w:sz w:val="22"/>
          <w:szCs w:val="22"/>
        </w:rPr>
        <w:t>starosta</w:t>
        <w:tab/>
        <w:tab/>
        <w:tab/>
        <w:tab/>
        <w:tab/>
        <w:t xml:space="preserve">         místostarostka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>………………………………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>Tomáš Klabouch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>místostarosta</w:t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88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8" w:right="1418" w:header="0" w:top="1418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rPr>
          <w:rFonts w:ascii="Arial" w:hAnsi="Arial" w:cs="Arial"/>
        </w:rPr>
      </w:pPr>
      <w:r>
        <w:rPr>
          <w:rStyle w:val="Znakypropoznmkupodarou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§ 61 zákona o odpadech</w:t>
      </w:r>
    </w:p>
  </w:footnote>
  <w:footnote w:id="3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§ 60 zákona o odpadech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u w:val="none"/>
        <w:b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)"/>
      <w:lvlJc w:val="left"/>
      <w:pPr>
        <w:ind w:left="36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dstrike w:val="false"/>
        <w:strike w:val="false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2">
    <w:name w:val="Heading 2"/>
    <w:basedOn w:val="Normal"/>
    <w:next w:val="Normal"/>
    <w:qFormat/>
    <w:pPr>
      <w:keepNext w:val="true"/>
      <w:jc w:val="both"/>
      <w:outlineLvl w:val="1"/>
    </w:pPr>
    <w:rPr>
      <w:szCs w:val="20"/>
      <w:u w:val="single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061946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semiHidden/>
    <w:qFormat/>
    <w:rsid w:val="00ad0d21"/>
    <w:rPr/>
  </w:style>
  <w:style w:type="character" w:styleId="PedmtkomenteChar" w:customStyle="1">
    <w:name w:val="Předmět komentáře Char"/>
    <w:link w:val="Pedmtkomente"/>
    <w:uiPriority w:val="99"/>
    <w:semiHidden/>
    <w:qFormat/>
    <w:rsid w:val="00ad0d21"/>
    <w:rPr>
      <w:b/>
      <w:bCs/>
    </w:rPr>
  </w:style>
  <w:style w:type="character" w:styleId="ZpatChar" w:customStyle="1">
    <w:name w:val="Zápatí Char"/>
    <w:link w:val="Zpat"/>
    <w:uiPriority w:val="99"/>
    <w:qFormat/>
    <w:rsid w:val="005e114f"/>
    <w:rPr>
      <w:sz w:val="24"/>
      <w:szCs w:val="24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061946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>
      <w:szCs w:val="20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dsazentlatextu">
    <w:name w:val="Body Text Indent"/>
    <w:basedOn w:val="Normal"/>
    <w:pPr>
      <w:ind w:left="708" w:firstLine="357"/>
      <w:jc w:val="both"/>
    </w:pPr>
    <w:rPr>
      <w:szCs w:val="20"/>
    </w:rPr>
  </w:style>
  <w:style w:type="paragraph" w:styleId="BodyTextIndent2">
    <w:name w:val="Body Text Indent 2"/>
    <w:basedOn w:val="Normal"/>
    <w:qFormat/>
    <w:pPr>
      <w:ind w:left="708" w:firstLine="360"/>
      <w:jc w:val="both"/>
    </w:pPr>
    <w:rPr>
      <w:bCs/>
      <w:szCs w:val="2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paragraph" w:styleId="Poznmkapodarou">
    <w:name w:val="Footnote Text"/>
    <w:basedOn w:val="Normal"/>
    <w:semiHidden/>
    <w:pPr/>
    <w:rPr>
      <w:sz w:val="20"/>
      <w:szCs w:val="20"/>
    </w:rPr>
  </w:style>
  <w:style w:type="paragraph" w:styleId="NormlnIMP" w:customStyle="1">
    <w:name w:val="Normální_IMP"/>
    <w:basedOn w:val="Normal"/>
    <w:qFormat/>
    <w:pPr>
      <w:suppressAutoHyphens w:val="true"/>
      <w:overflowPunct w:val="false"/>
      <w:spacing w:lineRule="auto" w:line="228"/>
      <w:jc w:val="both"/>
      <w:textAlignment w:val="baseline"/>
    </w:pPr>
    <w:rPr>
      <w:szCs w:val="20"/>
    </w:rPr>
  </w:style>
  <w:style w:type="paragraph" w:styleId="Annotationtext">
    <w:name w:val="annotation text"/>
    <w:basedOn w:val="Normal"/>
    <w:link w:val="TextkomenteChar"/>
    <w:semiHidden/>
    <w:qFormat/>
    <w:pPr/>
    <w:rPr>
      <w:sz w:val="20"/>
      <w:szCs w:val="20"/>
    </w:rPr>
  </w:style>
  <w:style w:type="paragraph" w:styleId="BodyTextIndent3">
    <w:name w:val="Body Text Indent 3"/>
    <w:basedOn w:val="Normal"/>
    <w:qFormat/>
    <w:pPr>
      <w:widowControl w:val="false"/>
      <w:tabs>
        <w:tab w:val="clear" w:pos="708"/>
        <w:tab w:val="left" w:pos="540" w:leader="none"/>
      </w:tabs>
      <w:ind w:left="540" w:hanging="540"/>
      <w:jc w:val="both"/>
    </w:pPr>
    <w:rPr>
      <w:bCs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77cc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ad0d21"/>
    <w:pPr/>
    <w:rPr>
      <w:b/>
      <w:bCs/>
      <w:lang w:val="x-none" w:eastAsia="x-none"/>
    </w:rPr>
  </w:style>
  <w:style w:type="paragraph" w:styleId="Zpat">
    <w:name w:val="Footer"/>
    <w:basedOn w:val="Normal"/>
    <w:link w:val="ZpatChar"/>
    <w:uiPriority w:val="99"/>
    <w:unhideWhenUsed/>
    <w:rsid w:val="005e114f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Default" w:customStyle="1">
    <w:name w:val="Default"/>
    <w:qFormat/>
    <w:rsid w:val="003a0db1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cs-CZ" w:eastAsia="cs-CZ" w:bidi="ar-SA"/>
    </w:rPr>
  </w:style>
  <w:style w:type="paragraph" w:styleId="Nzvylnk" w:customStyle="1">
    <w:name w:val="Názvy článků"/>
    <w:basedOn w:val="Normal"/>
    <w:qFormat/>
    <w:rsid w:val="00730253"/>
    <w:pPr>
      <w:keepNext w:val="true"/>
      <w:keepLines/>
      <w:spacing w:before="60" w:after="160"/>
      <w:jc w:val="center"/>
    </w:pPr>
    <w:rPr>
      <w:b/>
      <w:bCs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2D04-1978-4080-A6C4-BFEE7139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Application>LibreOffice/6.4.4.2$Windows_X86_64 LibreOffice_project/3d775be2011f3886db32dfd395a6a6d1ca2630ff</Application>
  <Pages>4</Pages>
  <Words>1010</Words>
  <Characters>5506</Characters>
  <CharactersWithSpaces>6516</CharactersWithSpaces>
  <Paragraphs>77</Paragraphs>
  <Company>MV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2022-11-07T14:20:00Z</dcterms:created>
  <dc:creator>DA210036</dc:creator>
  <dc:description/>
  <dc:language>cs-CZ</dc:language>
  <cp:lastModifiedBy/>
  <cp:lastPrinted>2023-12-18T18:18:02Z</cp:lastPrinted>
  <dcterms:modified xsi:type="dcterms:W3CDTF">2023-12-19T16:50:31Z</dcterms:modified>
  <cp:revision>31</cp:revision>
  <dc:subject/>
  <dc:title>Vzor obecně závazné vyhlášky obce o stanovení systému shromažďování, sběru, přepravy, třídění, využívání a odstraňování komuná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